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488FBA5D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2E2F">
        <w:tab/>
      </w:r>
      <w:r w:rsidR="008B2E2F">
        <w:tab/>
      </w:r>
      <w:r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94737B">
        <w:t>ENAV</w:t>
      </w:r>
      <w:r w:rsidR="00965128">
        <w:t>20</w:t>
      </w:r>
      <w:r>
        <w:t>-</w:t>
      </w:r>
      <w:r w:rsidR="008B2E2F">
        <w:t>13.19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Pr="00327E4A" w:rsidRDefault="0080294B" w:rsidP="00037DF4">
      <w:pPr>
        <w:pStyle w:val="BodyText"/>
        <w:tabs>
          <w:tab w:val="left" w:pos="1843"/>
        </w:tabs>
        <w:rPr>
          <w:rFonts w:cs="Arial"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327E4A">
        <w:rPr>
          <w:rFonts w:cs="Arial"/>
          <w:sz w:val="24"/>
          <w:szCs w:val="24"/>
        </w:rPr>
        <w:t>□  Input</w:t>
      </w:r>
    </w:p>
    <w:p w14:paraId="0BC79547" w14:textId="6C4027C0" w:rsidR="0080294B" w:rsidRPr="0080294B" w:rsidRDefault="008B2E2F" w:rsidP="00037DF4">
      <w:pPr>
        <w:pStyle w:val="BodyText"/>
        <w:tabs>
          <w:tab w:val="left" w:pos="1843"/>
        </w:tabs>
      </w:pPr>
      <w:r>
        <w:rPr>
          <w:rFonts w:cs="Arial"/>
          <w:b/>
          <w:sz w:val="24"/>
          <w:szCs w:val="24"/>
          <w:u w:val="single"/>
        </w:rPr>
        <w:t>X</w:t>
      </w:r>
      <w:r w:rsidR="0080294B" w:rsidRPr="00683CD9">
        <w:rPr>
          <w:rFonts w:cs="Arial"/>
          <w:b/>
          <w:sz w:val="24"/>
          <w:szCs w:val="24"/>
          <w:u w:val="single"/>
        </w:rPr>
        <w:t xml:space="preserve">  </w:t>
      </w:r>
      <w:r w:rsidR="0080294B" w:rsidRPr="00683CD9">
        <w:rPr>
          <w:rFonts w:cs="Arial"/>
          <w:b/>
          <w:u w:val="single"/>
        </w:rPr>
        <w:t>ENAV</w:t>
      </w:r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  <w:u w:val="single"/>
        </w:rPr>
        <w:t>X</w:t>
      </w:r>
      <w:r w:rsidR="0080294B" w:rsidRPr="00327E4A">
        <w:rPr>
          <w:rFonts w:cs="Arial"/>
          <w:b/>
          <w:sz w:val="24"/>
          <w:szCs w:val="24"/>
          <w:u w:val="single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1F21E545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8B2E2F">
        <w:t>13</w:t>
      </w:r>
      <w:bookmarkStart w:id="0" w:name="_GoBack"/>
      <w:bookmarkEnd w:id="0"/>
    </w:p>
    <w:p w14:paraId="1AB3E246" w14:textId="39A59783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683CD9">
        <w:t xml:space="preserve">Working Group </w:t>
      </w:r>
      <w:r w:rsidR="00376E0D">
        <w:t>5</w:t>
      </w:r>
      <w:r w:rsidR="00683CD9">
        <w:t xml:space="preserve"> (</w:t>
      </w:r>
      <w:r w:rsidR="00376E0D">
        <w:t>PNT</w:t>
      </w:r>
      <w:r w:rsidR="00683CD9">
        <w:t>)</w:t>
      </w:r>
    </w:p>
    <w:p w14:paraId="01FC5420" w14:textId="234D7BA3" w:rsidR="00362CD9" w:rsidRDefault="00362CD9" w:rsidP="00965128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5B3435">
        <w:t xml:space="preserve">Sewoong OH, </w:t>
      </w:r>
      <w:r w:rsidR="005B3435">
        <w:rPr>
          <w:rFonts w:hint="eastAsia"/>
          <w:lang w:eastAsia="ko-KR"/>
        </w:rPr>
        <w:t xml:space="preserve">Youngki Kim, </w:t>
      </w:r>
      <w:r w:rsidR="005B3435">
        <w:t xml:space="preserve">Younghoon HAN(KRISO), </w:t>
      </w:r>
      <w:r w:rsidR="005B3435">
        <w:tab/>
      </w:r>
      <w:r w:rsidR="005B3435">
        <w:tab/>
      </w:r>
      <w:r w:rsidR="005B3435">
        <w:tab/>
        <w:t xml:space="preserve">            Jongguk Chae(MOF), Sanghyun Park(KRISO)</w:t>
      </w:r>
    </w:p>
    <w:p w14:paraId="2762BF0D" w14:textId="77777777" w:rsidR="00204B9F" w:rsidRDefault="00204B9F" w:rsidP="00FE5674">
      <w:pPr>
        <w:pStyle w:val="BodyText"/>
        <w:tabs>
          <w:tab w:val="left" w:pos="2835"/>
        </w:tabs>
      </w:pPr>
    </w:p>
    <w:p w14:paraId="7E13E5AC" w14:textId="77777777" w:rsidR="002D3BE8" w:rsidRDefault="002D3BE8" w:rsidP="00FE5674">
      <w:pPr>
        <w:pStyle w:val="BodyText"/>
        <w:tabs>
          <w:tab w:val="left" w:pos="2835"/>
        </w:tabs>
      </w:pPr>
    </w:p>
    <w:p w14:paraId="0F258596" w14:textId="2AB2BA6D" w:rsidR="00A446C9" w:rsidRDefault="005D27D9" w:rsidP="00B23212">
      <w:pPr>
        <w:pStyle w:val="Title"/>
      </w:pPr>
      <w:r>
        <w:rPr>
          <w:lang w:eastAsia="ko-KR"/>
        </w:rPr>
        <w:t xml:space="preserve">Application case of </w:t>
      </w:r>
      <w:r w:rsidR="00376E0D">
        <w:rPr>
          <w:rFonts w:hint="eastAsia"/>
          <w:lang w:eastAsia="ko-KR"/>
        </w:rPr>
        <w:t>S</w:t>
      </w:r>
      <w:r w:rsidR="00376E0D">
        <w:rPr>
          <w:lang w:eastAsia="ko-KR"/>
        </w:rPr>
        <w:t>-240 DGNSS Station Almanac</w:t>
      </w:r>
    </w:p>
    <w:p w14:paraId="51930898" w14:textId="77777777" w:rsidR="00D1555E" w:rsidRPr="00C0530D" w:rsidRDefault="00D1555E" w:rsidP="00B56BDF">
      <w:pPr>
        <w:pStyle w:val="BodyText"/>
        <w:rPr>
          <w:lang w:eastAsia="ko-KR"/>
        </w:rPr>
      </w:pP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41EAC224" w14:textId="77777777" w:rsidR="00071297" w:rsidRDefault="00071297" w:rsidP="00E55927">
      <w:pPr>
        <w:pStyle w:val="BodyText"/>
        <w:rPr>
          <w:lang w:eastAsia="ko-KR"/>
        </w:rPr>
      </w:pPr>
    </w:p>
    <w:p w14:paraId="01533BF3" w14:textId="53FBA448" w:rsidR="00871D19" w:rsidRDefault="00871D19" w:rsidP="00376E0D">
      <w:pPr>
        <w:pStyle w:val="BodyText"/>
        <w:rPr>
          <w:lang w:eastAsia="ko-KR"/>
        </w:rPr>
      </w:pPr>
      <w:r>
        <w:rPr>
          <w:rFonts w:hint="eastAsia"/>
          <w:lang w:eastAsia="ko-KR"/>
        </w:rPr>
        <w:t xml:space="preserve">IALA decided to </w:t>
      </w:r>
      <w:r>
        <w:rPr>
          <w:lang w:eastAsia="ko-KR"/>
        </w:rPr>
        <w:t>develop</w:t>
      </w:r>
      <w:r>
        <w:rPr>
          <w:rFonts w:hint="eastAsia"/>
          <w:lang w:eastAsia="ko-KR"/>
        </w:rPr>
        <w:t xml:space="preserve"> S-20</w:t>
      </w:r>
      <w:r>
        <w:rPr>
          <w:lang w:eastAsia="ko-KR"/>
        </w:rPr>
        <w:t>X standards</w:t>
      </w:r>
      <w:r>
        <w:rPr>
          <w:rFonts w:hint="eastAsia"/>
          <w:lang w:eastAsia="ko-KR"/>
        </w:rPr>
        <w:t xml:space="preserve"> on GNSS infrastructure and the </w:t>
      </w:r>
      <w:r>
        <w:rPr>
          <w:lang w:eastAsia="ko-KR"/>
        </w:rPr>
        <w:t xml:space="preserve">S-240 DGNSS Station Almanac product specification was drafted in 2015. </w:t>
      </w:r>
      <w:r w:rsidR="008B5585">
        <w:rPr>
          <w:lang w:eastAsia="ko-KR"/>
        </w:rPr>
        <w:t xml:space="preserve">The document was reviewed via ENAV meeting and has been improved so far. ROK has </w:t>
      </w:r>
      <w:r w:rsidR="00D402AB">
        <w:rPr>
          <w:lang w:eastAsia="ko-KR"/>
        </w:rPr>
        <w:t xml:space="preserve">been </w:t>
      </w:r>
      <w:r w:rsidR="008B5585">
        <w:rPr>
          <w:lang w:eastAsia="ko-KR"/>
        </w:rPr>
        <w:t>involved in the development</w:t>
      </w:r>
      <w:r w:rsidR="00D402AB">
        <w:rPr>
          <w:lang w:eastAsia="ko-KR"/>
        </w:rPr>
        <w:t xml:space="preserve"> of the product specification. The team </w:t>
      </w:r>
      <w:r w:rsidR="008B5585">
        <w:rPr>
          <w:lang w:eastAsia="ko-KR"/>
        </w:rPr>
        <w:t xml:space="preserve">introduced the Google map service of S-240 DGNSS Almanac which was developed to verify the S-240 dataset and establish a web based service system. </w:t>
      </w:r>
    </w:p>
    <w:p w14:paraId="3698175B" w14:textId="3D8888BD" w:rsidR="008B5585" w:rsidRDefault="00D402AB" w:rsidP="00E55927">
      <w:pPr>
        <w:pStyle w:val="BodyText"/>
        <w:rPr>
          <w:lang w:eastAsia="ko-KR"/>
        </w:rPr>
      </w:pPr>
      <w:r>
        <w:rPr>
          <w:rFonts w:hint="eastAsia"/>
          <w:lang w:eastAsia="ko-KR"/>
        </w:rPr>
        <w:t xml:space="preserve">ROK </w:t>
      </w:r>
      <w:r>
        <w:rPr>
          <w:lang w:eastAsia="ko-KR"/>
        </w:rPr>
        <w:t xml:space="preserve">identified </w:t>
      </w:r>
      <w:r w:rsidR="008B5585">
        <w:rPr>
          <w:lang w:eastAsia="ko-KR"/>
        </w:rPr>
        <w:t xml:space="preserve">application cases of S-240 DGNSS Station Almanac dataset, which </w:t>
      </w:r>
      <w:r>
        <w:rPr>
          <w:lang w:eastAsia="ko-KR"/>
        </w:rPr>
        <w:t xml:space="preserve">is </w:t>
      </w:r>
      <w:r w:rsidR="008B5585">
        <w:rPr>
          <w:lang w:eastAsia="ko-KR"/>
        </w:rPr>
        <w:t>DGNSS reference station, DGNSS receiver and Voyage planning. This paper de</w:t>
      </w:r>
      <w:r>
        <w:rPr>
          <w:lang w:eastAsia="ko-KR"/>
        </w:rPr>
        <w:t>scribes</w:t>
      </w:r>
      <w:r w:rsidR="008B5585">
        <w:rPr>
          <w:lang w:eastAsia="ko-KR"/>
        </w:rPr>
        <w:t xml:space="preserve"> 3 types of application case of S-240 dataset. </w:t>
      </w:r>
    </w:p>
    <w:p w14:paraId="20173D51" w14:textId="77777777" w:rsidR="008B5585" w:rsidRPr="00B56BDF" w:rsidRDefault="008B5585" w:rsidP="00E55927">
      <w:pPr>
        <w:pStyle w:val="BodyText"/>
        <w:rPr>
          <w:lang w:eastAsia="ko-KR"/>
        </w:rPr>
      </w:pP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6D566B65" w14:textId="77777777" w:rsidR="00C70AC9" w:rsidRDefault="00C70AC9" w:rsidP="00E55927">
      <w:pPr>
        <w:pStyle w:val="BodyText"/>
      </w:pPr>
    </w:p>
    <w:p w14:paraId="492CB732" w14:textId="77777777" w:rsidR="00376E0D" w:rsidRDefault="00376E0D" w:rsidP="00376E0D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 xml:space="preserve">IALA Guideline 1106 – Producing an IALA S-200 series product specification </w:t>
      </w:r>
    </w:p>
    <w:p w14:paraId="537CDBD8" w14:textId="77777777" w:rsidR="00376E0D" w:rsidRDefault="00376E0D" w:rsidP="00376E0D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lang w:eastAsia="ko-KR"/>
        </w:rPr>
        <w:t xml:space="preserve">IALA S-240 DGNSS Station Almanac  Product Specification </w:t>
      </w:r>
    </w:p>
    <w:p w14:paraId="780ACFC6" w14:textId="77777777" w:rsidR="00376E0D" w:rsidRDefault="00376E0D" w:rsidP="00376E0D">
      <w:pPr>
        <w:pStyle w:val="BodyText"/>
        <w:numPr>
          <w:ilvl w:val="0"/>
          <w:numId w:val="45"/>
        </w:numPr>
        <w:rPr>
          <w:lang w:eastAsia="ko-KR"/>
        </w:rPr>
      </w:pPr>
      <w:r>
        <w:rPr>
          <w:rFonts w:hint="eastAsia"/>
          <w:lang w:eastAsia="ko-KR"/>
        </w:rPr>
        <w:t xml:space="preserve">ENAV17 13.13.1 Progress on the </w:t>
      </w:r>
      <w:r>
        <w:rPr>
          <w:lang w:eastAsia="ko-KR"/>
        </w:rPr>
        <w:t>development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of S-240 DGNSS Station Almanac</w:t>
      </w:r>
    </w:p>
    <w:p w14:paraId="7753F50D" w14:textId="77777777" w:rsidR="00EF02B0" w:rsidRPr="00376E0D" w:rsidRDefault="00EF02B0" w:rsidP="00EF02B0">
      <w:pPr>
        <w:pStyle w:val="BodyText"/>
        <w:ind w:left="760"/>
        <w:rPr>
          <w:lang w:eastAsia="ko-KR"/>
        </w:rPr>
      </w:pP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22619E3B" w14:textId="77777777" w:rsidR="00D06424" w:rsidRDefault="00D06424" w:rsidP="00A446C9">
      <w:pPr>
        <w:pStyle w:val="BodyText"/>
        <w:rPr>
          <w:lang w:eastAsia="ko-KR"/>
        </w:rPr>
      </w:pPr>
    </w:p>
    <w:p w14:paraId="360079F7" w14:textId="75FC81DD" w:rsidR="00D06424" w:rsidRDefault="0033227C" w:rsidP="00C27EEE">
      <w:pPr>
        <w:pStyle w:val="Heading2"/>
        <w:rPr>
          <w:lang w:eastAsia="ko-KR"/>
        </w:rPr>
      </w:pPr>
      <w:r>
        <w:rPr>
          <w:lang w:eastAsia="ko-KR"/>
        </w:rPr>
        <w:t xml:space="preserve">Case of </w:t>
      </w:r>
      <w:r w:rsidR="00376E0D">
        <w:rPr>
          <w:rFonts w:hint="eastAsia"/>
          <w:lang w:eastAsia="ko-KR"/>
        </w:rPr>
        <w:t>DGNSS</w:t>
      </w:r>
      <w:r>
        <w:rPr>
          <w:lang w:eastAsia="ko-KR"/>
        </w:rPr>
        <w:t xml:space="preserve"> Reference Station</w:t>
      </w:r>
    </w:p>
    <w:p w14:paraId="730EF929" w14:textId="77777777" w:rsidR="001B4D36" w:rsidRPr="001B4D36" w:rsidRDefault="001B4D36" w:rsidP="001B4D36">
      <w:pPr>
        <w:pStyle w:val="BodyText"/>
        <w:rPr>
          <w:lang w:eastAsia="ko-KR"/>
        </w:rPr>
      </w:pPr>
    </w:p>
    <w:p w14:paraId="4DB459B1" w14:textId="632583E6" w:rsidR="005061FC" w:rsidRDefault="005061FC" w:rsidP="00A446C9">
      <w:pPr>
        <w:pStyle w:val="BodyText"/>
        <w:rPr>
          <w:lang w:eastAsia="ko-KR"/>
        </w:rPr>
      </w:pPr>
      <w:r>
        <w:rPr>
          <w:lang w:eastAsia="ko-KR"/>
        </w:rPr>
        <w:lastRenderedPageBreak/>
        <w:t xml:space="preserve">DGNSS reference station is maintaining a RSIM (Reference Station and Integrity Monitor) to provide a DGNSS correction service. Since detailed information of reference station is required for </w:t>
      </w:r>
      <w:r w:rsidR="00AE10C8">
        <w:rPr>
          <w:lang w:eastAsia="ko-KR"/>
        </w:rPr>
        <w:t xml:space="preserve">executing </w:t>
      </w:r>
      <w:r>
        <w:rPr>
          <w:lang w:eastAsia="ko-KR"/>
        </w:rPr>
        <w:t xml:space="preserve">RSIM system, the S-240 dataset can be used to set up and change the station information at a time. </w:t>
      </w:r>
    </w:p>
    <w:p w14:paraId="16B64617" w14:textId="0D08E8B2" w:rsidR="0062374F" w:rsidRDefault="005061FC" w:rsidP="00AE10C8">
      <w:pPr>
        <w:pStyle w:val="BodyText"/>
        <w:rPr>
          <w:lang w:eastAsia="ko-KR"/>
        </w:rPr>
      </w:pPr>
      <w:r>
        <w:rPr>
          <w:lang w:eastAsia="ko-KR"/>
        </w:rPr>
        <w:t xml:space="preserve">If the S-240 dataset is applied to the RSIM, unintentional error can be decreased and efficiency of DGNSS RSIM management can be improved. </w:t>
      </w:r>
      <w:r w:rsidR="00AE10C8">
        <w:rPr>
          <w:lang w:eastAsia="ko-KR"/>
        </w:rPr>
        <w:t xml:space="preserve">In order to verify the concept, the team </w:t>
      </w:r>
      <w:r>
        <w:rPr>
          <w:rFonts w:hint="eastAsia"/>
          <w:lang w:eastAsia="ko-KR"/>
        </w:rPr>
        <w:t xml:space="preserve">developed the </w:t>
      </w:r>
      <w:r>
        <w:rPr>
          <w:lang w:eastAsia="ko-KR"/>
        </w:rPr>
        <w:t xml:space="preserve">data setup window of GNSS RS/IM system </w:t>
      </w:r>
      <w:r w:rsidR="00AE10C8">
        <w:rPr>
          <w:lang w:eastAsia="ko-KR"/>
        </w:rPr>
        <w:t xml:space="preserve">for </w:t>
      </w:r>
      <w:r>
        <w:rPr>
          <w:lang w:eastAsia="ko-KR"/>
        </w:rPr>
        <w:t>apply</w:t>
      </w:r>
      <w:r w:rsidR="00AE10C8">
        <w:rPr>
          <w:lang w:eastAsia="ko-KR"/>
        </w:rPr>
        <w:t>ing</w:t>
      </w:r>
      <w:r>
        <w:rPr>
          <w:lang w:eastAsia="ko-KR"/>
        </w:rPr>
        <w:t xml:space="preserve"> the S-240 XML dataset. If the reference station is selected in the setup window, the detailed parameter of RS/IM system</w:t>
      </w:r>
      <w:r w:rsidR="00603357">
        <w:rPr>
          <w:lang w:eastAsia="ko-KR"/>
        </w:rPr>
        <w:t xml:space="preserve"> </w:t>
      </w:r>
      <w:r w:rsidR="00AE10C8">
        <w:rPr>
          <w:lang w:eastAsia="ko-KR"/>
        </w:rPr>
        <w:t xml:space="preserve">can be </w:t>
      </w:r>
      <w:r w:rsidR="00603357">
        <w:rPr>
          <w:lang w:eastAsia="ko-KR"/>
        </w:rPr>
        <w:t>applied to the system</w:t>
      </w:r>
      <w:r w:rsidR="00AE10C8">
        <w:rPr>
          <w:lang w:eastAsia="ko-KR"/>
        </w:rPr>
        <w:t xml:space="preserve"> without human intervention</w:t>
      </w:r>
      <w:r w:rsidR="00603357">
        <w:rPr>
          <w:lang w:eastAsia="ko-KR"/>
        </w:rPr>
        <w:t xml:space="preserve">. </w:t>
      </w:r>
    </w:p>
    <w:p w14:paraId="4A2D1F34" w14:textId="77777777" w:rsidR="005061FC" w:rsidRDefault="005061FC" w:rsidP="00A446C9">
      <w:pPr>
        <w:pStyle w:val="BodyText"/>
        <w:rPr>
          <w:lang w:eastAsia="ko-KR"/>
        </w:rPr>
      </w:pPr>
    </w:p>
    <w:p w14:paraId="3C31451B" w14:textId="676E6E3E" w:rsidR="0062374F" w:rsidRDefault="0062374F" w:rsidP="0062374F">
      <w:pPr>
        <w:pStyle w:val="a"/>
        <w:snapToGrid/>
        <w:jc w:val="center"/>
      </w:pPr>
      <w:r>
        <w:rPr>
          <w:noProof/>
          <w:lang w:val="en-IE" w:eastAsia="en-IE"/>
        </w:rPr>
        <w:drawing>
          <wp:inline distT="0" distB="0" distL="0" distR="0" wp14:anchorId="2C4DB54E" wp14:editId="5302EB1E">
            <wp:extent cx="3414712" cy="2442292"/>
            <wp:effectExtent l="0" t="0" r="0" b="0"/>
            <wp:docPr id="1" name="그림 1" descr="EMB000012643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52996328" descr="EMB0000126434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687" cy="2445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2ACF3" w14:textId="75562706" w:rsidR="0062374F" w:rsidRPr="00C00969" w:rsidRDefault="0062374F" w:rsidP="0062374F">
      <w:pPr>
        <w:pStyle w:val="a"/>
        <w:snapToGrid/>
        <w:jc w:val="center"/>
        <w:rPr>
          <w:rFonts w:ascii="Arial" w:eastAsia="Batang" w:hAnsi="Arial" w:cs="Calibri"/>
          <w:color w:val="auto"/>
          <w:sz w:val="22"/>
          <w:szCs w:val="22"/>
          <w:lang w:val="en-GB"/>
        </w:rPr>
      </w:pPr>
      <w:r w:rsidRPr="00C00969">
        <w:rPr>
          <w:rFonts w:ascii="Arial" w:eastAsia="Batang" w:hAnsi="Arial" w:cs="Calibri" w:hint="eastAsia"/>
          <w:color w:val="auto"/>
          <w:sz w:val="22"/>
          <w:szCs w:val="22"/>
          <w:lang w:val="en-GB"/>
        </w:rPr>
        <w:t xml:space="preserve">Figure 1. </w:t>
      </w:r>
      <w:r w:rsidR="00C00969">
        <w:rPr>
          <w:rFonts w:ascii="Arial" w:eastAsia="Batang" w:hAnsi="Arial" w:cs="Calibri"/>
          <w:color w:val="auto"/>
          <w:sz w:val="22"/>
          <w:szCs w:val="22"/>
          <w:lang w:val="en-GB"/>
        </w:rPr>
        <w:t>Data setup window</w:t>
      </w:r>
    </w:p>
    <w:p w14:paraId="0D19B337" w14:textId="77777777" w:rsidR="0062374F" w:rsidRDefault="0062374F" w:rsidP="00A446C9">
      <w:pPr>
        <w:pStyle w:val="BodyText"/>
        <w:rPr>
          <w:lang w:eastAsia="ko-KR"/>
        </w:rPr>
      </w:pPr>
    </w:p>
    <w:p w14:paraId="755CB320" w14:textId="24EC983B" w:rsidR="0062374F" w:rsidRDefault="0062374F" w:rsidP="0062374F">
      <w:pPr>
        <w:pStyle w:val="a"/>
        <w:snapToGrid/>
        <w:jc w:val="center"/>
      </w:pPr>
      <w:r>
        <w:rPr>
          <w:noProof/>
          <w:lang w:val="en-IE" w:eastAsia="en-IE"/>
        </w:rPr>
        <w:drawing>
          <wp:inline distT="0" distB="0" distL="0" distR="0" wp14:anchorId="10284E9E" wp14:editId="3F2FB982">
            <wp:extent cx="5400675" cy="3224530"/>
            <wp:effectExtent l="0" t="0" r="9525" b="0"/>
            <wp:docPr id="2" name="그림 2" descr="EMB000012643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66064656" descr="EMB0000126434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2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2C7E9" w14:textId="304AE148" w:rsidR="0062374F" w:rsidRDefault="0062374F" w:rsidP="0062374F">
      <w:pPr>
        <w:pStyle w:val="BodyText"/>
        <w:jc w:val="center"/>
        <w:rPr>
          <w:lang w:eastAsia="ko-KR"/>
        </w:rPr>
      </w:pPr>
      <w:r>
        <w:rPr>
          <w:rFonts w:hint="eastAsia"/>
          <w:lang w:eastAsia="ko-KR"/>
        </w:rPr>
        <w:t xml:space="preserve">Figure 2. </w:t>
      </w:r>
      <w:r w:rsidR="00CE205E">
        <w:rPr>
          <w:lang w:eastAsia="ko-KR"/>
        </w:rPr>
        <w:t xml:space="preserve">Setup result of </w:t>
      </w:r>
      <w:r>
        <w:rPr>
          <w:rFonts w:hint="eastAsia"/>
          <w:lang w:eastAsia="ko-KR"/>
        </w:rPr>
        <w:t>DGNSS RS/IM</w:t>
      </w:r>
      <w:r w:rsidR="00CE205E">
        <w:rPr>
          <w:lang w:eastAsia="ko-KR"/>
        </w:rPr>
        <w:t xml:space="preserve"> using S-240 dataset</w:t>
      </w:r>
    </w:p>
    <w:p w14:paraId="3CF16BB8" w14:textId="77777777" w:rsidR="008373A8" w:rsidRDefault="008373A8" w:rsidP="00603357">
      <w:pPr>
        <w:pStyle w:val="BodyText"/>
        <w:rPr>
          <w:lang w:eastAsia="ko-KR"/>
        </w:rPr>
      </w:pPr>
    </w:p>
    <w:p w14:paraId="4BA887BA" w14:textId="167D1660" w:rsidR="00603357" w:rsidRDefault="00603357" w:rsidP="00603357">
      <w:pPr>
        <w:pStyle w:val="BodyText"/>
        <w:rPr>
          <w:lang w:eastAsia="ko-KR"/>
        </w:rPr>
      </w:pPr>
      <w:r>
        <w:rPr>
          <w:rFonts w:hint="eastAsia"/>
          <w:lang w:eastAsia="ko-KR"/>
        </w:rPr>
        <w:t>Figure 2 shows that the RS/IM of DGNSS reference s</w:t>
      </w:r>
      <w:r w:rsidR="008373A8">
        <w:rPr>
          <w:lang w:eastAsia="ko-KR"/>
        </w:rPr>
        <w:t>tation</w:t>
      </w:r>
      <w:r>
        <w:rPr>
          <w:rFonts w:hint="eastAsia"/>
          <w:lang w:eastAsia="ko-KR"/>
        </w:rPr>
        <w:t xml:space="preserve"> set up according to the S-240 dataset</w:t>
      </w:r>
      <w:r>
        <w:rPr>
          <w:lang w:eastAsia="ko-KR"/>
        </w:rPr>
        <w:t>. The team confirmed the possibility which the S-240 dataset can be used for setting up the RS/IM system.</w:t>
      </w:r>
    </w:p>
    <w:p w14:paraId="04B916B3" w14:textId="77777777" w:rsidR="00603357" w:rsidRDefault="00603357" w:rsidP="007D4186">
      <w:pPr>
        <w:pStyle w:val="BodyText"/>
        <w:rPr>
          <w:lang w:eastAsia="ko-KR"/>
        </w:rPr>
      </w:pPr>
    </w:p>
    <w:p w14:paraId="7D68F3A3" w14:textId="13878E03" w:rsidR="007D4186" w:rsidRDefault="00CE205E" w:rsidP="007D4186">
      <w:pPr>
        <w:pStyle w:val="Heading2"/>
        <w:rPr>
          <w:lang w:eastAsia="ko-KR"/>
        </w:rPr>
      </w:pPr>
      <w:r>
        <w:rPr>
          <w:rFonts w:hint="eastAsia"/>
          <w:lang w:eastAsia="ko-KR"/>
        </w:rPr>
        <w:t xml:space="preserve">Case of </w:t>
      </w:r>
      <w:r w:rsidR="00376E0D">
        <w:rPr>
          <w:lang w:eastAsia="ko-KR"/>
        </w:rPr>
        <w:t>Beacon</w:t>
      </w:r>
      <w:r>
        <w:rPr>
          <w:lang w:eastAsia="ko-KR"/>
        </w:rPr>
        <w:t xml:space="preserve"> receiver</w:t>
      </w:r>
      <w:r w:rsidR="007D4186" w:rsidRPr="00EB04D8">
        <w:rPr>
          <w:rFonts w:hint="eastAsia"/>
          <w:lang w:eastAsia="ko-KR"/>
        </w:rPr>
        <w:t xml:space="preserve"> </w:t>
      </w:r>
    </w:p>
    <w:p w14:paraId="525FD717" w14:textId="77777777" w:rsidR="001B4D36" w:rsidRPr="001B4D36" w:rsidRDefault="001B4D36" w:rsidP="001B4D36">
      <w:pPr>
        <w:pStyle w:val="BodyText"/>
        <w:rPr>
          <w:lang w:eastAsia="ko-KR"/>
        </w:rPr>
      </w:pPr>
    </w:p>
    <w:p w14:paraId="256D0E7D" w14:textId="5816C7DA" w:rsidR="00C137D8" w:rsidRDefault="00237EC1" w:rsidP="008B517A">
      <w:pPr>
        <w:pStyle w:val="BodyText"/>
        <w:rPr>
          <w:lang w:eastAsia="ko-KR"/>
        </w:rPr>
      </w:pPr>
      <w:r>
        <w:rPr>
          <w:lang w:eastAsia="ko-KR"/>
        </w:rPr>
        <w:t xml:space="preserve">When a DGNSS receiver receives signals from multiple DGNSS reference station, it will be beneficial </w:t>
      </w:r>
      <w:r w:rsidR="00C137D8">
        <w:rPr>
          <w:lang w:eastAsia="ko-KR"/>
        </w:rPr>
        <w:t xml:space="preserve">if the shortest distance of DGNSS station is selected in the </w:t>
      </w:r>
      <w:r w:rsidR="008373A8">
        <w:rPr>
          <w:lang w:eastAsia="ko-KR"/>
        </w:rPr>
        <w:t xml:space="preserve">beacon </w:t>
      </w:r>
      <w:r w:rsidR="00C137D8">
        <w:rPr>
          <w:lang w:eastAsia="ko-KR"/>
        </w:rPr>
        <w:t>receiver. For the status</w:t>
      </w:r>
      <w:r w:rsidR="008B517A">
        <w:rPr>
          <w:lang w:eastAsia="ko-KR"/>
        </w:rPr>
        <w:t xml:space="preserve"> information</w:t>
      </w:r>
      <w:r w:rsidR="00C137D8">
        <w:rPr>
          <w:lang w:eastAsia="ko-KR"/>
        </w:rPr>
        <w:t xml:space="preserve"> of DGNSS reference station, each station broadcasts a message according to the Message Type 3 of  </w:t>
      </w:r>
      <w:r w:rsidR="00C137D8">
        <w:rPr>
          <w:rFonts w:hint="eastAsia"/>
          <w:lang w:eastAsia="ko-KR"/>
        </w:rPr>
        <w:t>‘</w:t>
      </w:r>
      <w:r w:rsidR="00C137D8">
        <w:rPr>
          <w:rFonts w:hint="eastAsia"/>
          <w:lang w:eastAsia="ko-KR"/>
        </w:rPr>
        <w:t>RTCM Recommended Standards for Differential GNSS Service v2.3</w:t>
      </w:r>
      <w:r w:rsidR="00C137D8">
        <w:rPr>
          <w:rFonts w:hint="eastAsia"/>
          <w:lang w:eastAsia="ko-KR"/>
        </w:rPr>
        <w:t>’</w:t>
      </w:r>
      <w:r w:rsidR="00C137D8">
        <w:rPr>
          <w:rFonts w:hint="eastAsia"/>
          <w:lang w:eastAsia="ko-KR"/>
        </w:rPr>
        <w:t xml:space="preserve"> and </w:t>
      </w:r>
      <w:r w:rsidR="008B517A">
        <w:rPr>
          <w:lang w:eastAsia="ko-KR"/>
        </w:rPr>
        <w:t xml:space="preserve">Message </w:t>
      </w:r>
      <w:r w:rsidR="00C137D8">
        <w:rPr>
          <w:lang w:eastAsia="ko-KR"/>
        </w:rPr>
        <w:t xml:space="preserve">Type 1004 or 1005 of </w:t>
      </w:r>
      <w:r w:rsidR="00C137D8">
        <w:rPr>
          <w:rFonts w:hint="eastAsia"/>
          <w:lang w:eastAsia="ko-KR"/>
        </w:rPr>
        <w:t>‘</w:t>
      </w:r>
      <w:r w:rsidR="00C137D8">
        <w:rPr>
          <w:rFonts w:hint="eastAsia"/>
          <w:lang w:eastAsia="ko-KR"/>
        </w:rPr>
        <w:t>RTCM Standard 10403.1 for Differential GNSS Services v3.0</w:t>
      </w:r>
      <w:r w:rsidR="00C137D8">
        <w:rPr>
          <w:rFonts w:hint="eastAsia"/>
          <w:lang w:eastAsia="ko-KR"/>
        </w:rPr>
        <w:t>’</w:t>
      </w:r>
      <w:r w:rsidR="00C137D8">
        <w:rPr>
          <w:rFonts w:hint="eastAsia"/>
          <w:lang w:eastAsia="ko-KR"/>
        </w:rPr>
        <w:t>.</w:t>
      </w:r>
      <w:r w:rsidR="00C137D8">
        <w:rPr>
          <w:lang w:eastAsia="ko-KR"/>
        </w:rPr>
        <w:t xml:space="preserve"> Those messages are broadcast following a planned schedule. </w:t>
      </w:r>
      <w:r w:rsidR="009B5FFF" w:rsidRPr="00791B91">
        <w:rPr>
          <w:rFonts w:hint="eastAsia"/>
          <w:lang w:eastAsia="ko-KR"/>
        </w:rPr>
        <w:t xml:space="preserve">Figure 3 shows </w:t>
      </w:r>
      <w:r w:rsidR="0092449D">
        <w:rPr>
          <w:lang w:eastAsia="ko-KR"/>
        </w:rPr>
        <w:t>the comparison of a method to select the signal from DGNSS reference system</w:t>
      </w:r>
      <w:r w:rsidR="00256FBF">
        <w:rPr>
          <w:lang w:eastAsia="ko-KR"/>
        </w:rPr>
        <w:t xml:space="preserve"> </w:t>
      </w:r>
      <w:r w:rsidR="0092449D">
        <w:rPr>
          <w:lang w:eastAsia="ko-KR"/>
        </w:rPr>
        <w:t>between</w:t>
      </w:r>
      <w:r w:rsidR="00256FBF">
        <w:rPr>
          <w:lang w:eastAsia="ko-KR"/>
        </w:rPr>
        <w:t xml:space="preserve"> current beacon receiver and proposed process using </w:t>
      </w:r>
      <w:r w:rsidR="008B517A">
        <w:rPr>
          <w:lang w:eastAsia="ko-KR"/>
        </w:rPr>
        <w:t xml:space="preserve">the </w:t>
      </w:r>
      <w:r w:rsidR="00256FBF">
        <w:rPr>
          <w:lang w:eastAsia="ko-KR"/>
        </w:rPr>
        <w:t xml:space="preserve">S-240 dataset. The proposed method is needed to test the application effect with beacon receiver industries. </w:t>
      </w:r>
      <w:r w:rsidR="0092449D">
        <w:rPr>
          <w:lang w:eastAsia="ko-KR"/>
        </w:rPr>
        <w:t xml:space="preserve"> </w:t>
      </w:r>
    </w:p>
    <w:p w14:paraId="7CFDDB58" w14:textId="77777777" w:rsidR="001B4D36" w:rsidRPr="00791B91" w:rsidRDefault="001B4D36" w:rsidP="008B517A">
      <w:pPr>
        <w:pStyle w:val="BodyText"/>
        <w:rPr>
          <w:lang w:eastAsia="ko-KR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6"/>
        <w:gridCol w:w="4456"/>
      </w:tblGrid>
      <w:tr w:rsidR="0062374F" w:rsidRPr="0062374F" w14:paraId="6ECFF5EE" w14:textId="77777777" w:rsidTr="0062374F">
        <w:trPr>
          <w:trHeight w:val="4294"/>
          <w:jc w:val="center"/>
        </w:trPr>
        <w:tc>
          <w:tcPr>
            <w:tcW w:w="4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247FFE" w14:textId="7B8DDE68" w:rsidR="0062374F" w:rsidRPr="0062374F" w:rsidRDefault="00C77EC2" w:rsidP="0062374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Malgun Gothic" w:eastAsia="Malgun Gothic" w:hAnsi="Malgun Gothic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7A65F253" wp14:editId="7503343C">
                  <wp:extent cx="1628775" cy="2170504"/>
                  <wp:effectExtent l="0" t="0" r="0" b="127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500" cy="218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4EEEC5" w14:textId="5121DCAF" w:rsidR="0062374F" w:rsidRPr="0062374F" w:rsidRDefault="0062374F" w:rsidP="00256F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 w:rsidRPr="0062374F">
              <w:rPr>
                <w:rFonts w:ascii="Malgun Gothic" w:eastAsia="Malgun Gothic" w:hAnsi="Malgun Gothic" w:cs="Gulim" w:hint="eastAsia"/>
                <w:color w:val="000000"/>
                <w:sz w:val="20"/>
                <w:szCs w:val="20"/>
                <w:lang w:val="en-US" w:eastAsia="ko-KR"/>
              </w:rPr>
              <w:t>&lt;</w:t>
            </w:r>
            <w:r w:rsidR="00256FBF">
              <w:rPr>
                <w:rFonts w:ascii="Malgun Gothic" w:eastAsia="Malgun Gothic" w:hAnsi="Malgun Gothic" w:cs="Gulim"/>
                <w:color w:val="000000"/>
                <w:sz w:val="20"/>
                <w:szCs w:val="20"/>
                <w:lang w:val="en-US" w:eastAsia="ko-KR"/>
              </w:rPr>
              <w:t>Current process in a beacon receiver</w:t>
            </w:r>
            <w:r w:rsidR="00256FBF" w:rsidRPr="0062374F">
              <w:rPr>
                <w:rFonts w:ascii="Malgun Gothic" w:eastAsia="Malgun Gothic" w:hAnsi="Malgun Gothic" w:cs="Gulim" w:hint="eastAsia"/>
                <w:color w:val="000000"/>
                <w:sz w:val="20"/>
                <w:szCs w:val="20"/>
                <w:lang w:val="en-US" w:eastAsia="ko-KR"/>
              </w:rPr>
              <w:t xml:space="preserve"> </w:t>
            </w:r>
            <w:r w:rsidRPr="0062374F">
              <w:rPr>
                <w:rFonts w:ascii="Malgun Gothic" w:eastAsia="Malgun Gothic" w:hAnsi="Malgun Gothic" w:cs="Gulim" w:hint="eastAsia"/>
                <w:color w:val="000000"/>
                <w:sz w:val="20"/>
                <w:szCs w:val="20"/>
                <w:lang w:val="en-US" w:eastAsia="ko-KR"/>
              </w:rPr>
              <w:t>&gt;</w:t>
            </w:r>
          </w:p>
        </w:tc>
        <w:tc>
          <w:tcPr>
            <w:tcW w:w="4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D1BBED" w14:textId="0C9A3C5D" w:rsidR="0062374F" w:rsidRPr="0062374F" w:rsidRDefault="00C77EC2" w:rsidP="0062374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Malgun Gothic" w:eastAsia="Malgun Gothic" w:hAnsi="Malgun Gothic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1D5CF066" wp14:editId="3F6AB426">
                  <wp:extent cx="1299882" cy="2103755"/>
                  <wp:effectExtent l="0" t="0" r="0" b="0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350" cy="213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23430D" w14:textId="0BBF65E0" w:rsidR="0062374F" w:rsidRPr="0062374F" w:rsidRDefault="0062374F" w:rsidP="00C77EC2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 w:rsidRPr="0062374F">
              <w:rPr>
                <w:rFonts w:ascii="Malgun Gothic" w:eastAsia="Malgun Gothic" w:hAnsi="Malgun Gothic" w:cs="Gulim" w:hint="eastAsia"/>
                <w:color w:val="000000"/>
                <w:sz w:val="20"/>
                <w:szCs w:val="20"/>
                <w:lang w:val="en-US" w:eastAsia="ko-KR"/>
              </w:rPr>
              <w:t>&lt;</w:t>
            </w:r>
            <w:r w:rsidR="00256FBF">
              <w:rPr>
                <w:rFonts w:ascii="Malgun Gothic" w:eastAsia="Malgun Gothic" w:hAnsi="Malgun Gothic" w:cs="Gulim"/>
                <w:color w:val="000000"/>
                <w:sz w:val="20"/>
                <w:szCs w:val="20"/>
                <w:lang w:val="en-US" w:eastAsia="ko-KR"/>
              </w:rPr>
              <w:t xml:space="preserve">Proposed process with </w:t>
            </w:r>
            <w:r w:rsidRPr="0062374F">
              <w:rPr>
                <w:rFonts w:ascii="Malgun Gothic" w:eastAsia="Malgun Gothic" w:hAnsi="Malgun Gothic" w:cs="Gulim" w:hint="eastAsia"/>
                <w:color w:val="000000"/>
                <w:sz w:val="20"/>
                <w:szCs w:val="20"/>
                <w:lang w:val="en-US" w:eastAsia="ko-KR"/>
              </w:rPr>
              <w:t>S</w:t>
            </w:r>
            <w:r>
              <w:rPr>
                <w:rFonts w:ascii="Malgun Gothic" w:eastAsia="Malgun Gothic" w:hAnsi="Malgun Gothic" w:cs="Gulim"/>
                <w:color w:val="000000"/>
                <w:sz w:val="20"/>
                <w:szCs w:val="20"/>
                <w:lang w:val="en-US" w:eastAsia="ko-KR"/>
              </w:rPr>
              <w:t>-</w:t>
            </w:r>
            <w:r w:rsidRPr="0062374F">
              <w:rPr>
                <w:rFonts w:ascii="Malgun Gothic" w:eastAsia="Malgun Gothic" w:hAnsi="Malgun Gothic" w:cs="Gulim" w:hint="eastAsia"/>
                <w:color w:val="000000"/>
                <w:sz w:val="20"/>
                <w:szCs w:val="20"/>
                <w:lang w:val="en-US" w:eastAsia="ko-KR"/>
              </w:rPr>
              <w:t xml:space="preserve">240 </w:t>
            </w:r>
            <w:r w:rsidR="00256FBF">
              <w:rPr>
                <w:rFonts w:ascii="Gulim" w:eastAsia="Malgun Gothic" w:hAnsi="Gulim" w:cs="Gulim"/>
                <w:color w:val="000000"/>
                <w:sz w:val="20"/>
                <w:szCs w:val="20"/>
                <w:lang w:val="en-US" w:eastAsia="ko-KR"/>
              </w:rPr>
              <w:t>dataset</w:t>
            </w:r>
            <w:r w:rsidRPr="0062374F">
              <w:rPr>
                <w:rFonts w:ascii="Malgun Gothic" w:eastAsia="Malgun Gothic" w:hAnsi="Malgun Gothic" w:cs="Gulim" w:hint="eastAsia"/>
                <w:color w:val="000000"/>
                <w:sz w:val="20"/>
                <w:szCs w:val="20"/>
                <w:lang w:val="en-US" w:eastAsia="ko-KR"/>
              </w:rPr>
              <w:t>&gt;</w:t>
            </w:r>
          </w:p>
        </w:tc>
      </w:tr>
    </w:tbl>
    <w:p w14:paraId="3B1A8BBF" w14:textId="7100D8AA" w:rsidR="0062374F" w:rsidRPr="003A2925" w:rsidRDefault="0062374F" w:rsidP="0062374F">
      <w:pPr>
        <w:widowControl w:val="0"/>
        <w:wordWrap w:val="0"/>
        <w:autoSpaceDE w:val="0"/>
        <w:autoSpaceDN w:val="0"/>
        <w:spacing w:line="384" w:lineRule="auto"/>
        <w:jc w:val="center"/>
        <w:textAlignment w:val="baseline"/>
        <w:rPr>
          <w:lang w:eastAsia="ko-KR"/>
        </w:rPr>
      </w:pPr>
      <w:r w:rsidRPr="003A2925">
        <w:rPr>
          <w:rFonts w:hint="eastAsia"/>
          <w:lang w:eastAsia="ko-KR"/>
        </w:rPr>
        <w:t xml:space="preserve">Figure 3. </w:t>
      </w:r>
      <w:r w:rsidR="003A2925">
        <w:rPr>
          <w:lang w:eastAsia="ko-KR"/>
        </w:rPr>
        <w:t>Comparison between current and proposed process</w:t>
      </w:r>
    </w:p>
    <w:p w14:paraId="5515FD67" w14:textId="77777777" w:rsidR="00376E0D" w:rsidRDefault="00376E0D" w:rsidP="00376E0D">
      <w:pPr>
        <w:pStyle w:val="BodyText"/>
        <w:rPr>
          <w:lang w:eastAsia="ko-KR"/>
        </w:rPr>
      </w:pPr>
    </w:p>
    <w:p w14:paraId="74EC57E3" w14:textId="013A0AA1" w:rsidR="00376E0D" w:rsidRDefault="003F5E34" w:rsidP="00376E0D">
      <w:pPr>
        <w:pStyle w:val="Heading2"/>
        <w:numPr>
          <w:ilvl w:val="1"/>
          <w:numId w:val="14"/>
        </w:numPr>
        <w:rPr>
          <w:lang w:eastAsia="ko-KR"/>
        </w:rPr>
      </w:pPr>
      <w:r>
        <w:rPr>
          <w:lang w:eastAsia="ko-KR"/>
        </w:rPr>
        <w:t>Case of Voyage planning</w:t>
      </w:r>
      <w:r w:rsidR="00376E0D" w:rsidRPr="00EB04D8">
        <w:rPr>
          <w:rFonts w:hint="eastAsia"/>
          <w:lang w:eastAsia="ko-KR"/>
        </w:rPr>
        <w:t xml:space="preserve"> </w:t>
      </w:r>
    </w:p>
    <w:p w14:paraId="2AB66E79" w14:textId="77777777" w:rsidR="001B4D36" w:rsidRPr="001B4D36" w:rsidRDefault="001B4D36" w:rsidP="001B4D36">
      <w:pPr>
        <w:pStyle w:val="BodyText"/>
        <w:rPr>
          <w:lang w:eastAsia="ko-KR"/>
        </w:rPr>
      </w:pPr>
    </w:p>
    <w:p w14:paraId="36EF33F8" w14:textId="174BB9BE" w:rsidR="008C46C9" w:rsidRDefault="008222B6" w:rsidP="0062374F">
      <w:pPr>
        <w:pStyle w:val="BodyText"/>
        <w:rPr>
          <w:lang w:eastAsia="ko-KR"/>
        </w:rPr>
      </w:pPr>
      <w:r>
        <w:rPr>
          <w:lang w:eastAsia="ko-KR"/>
        </w:rPr>
        <w:t xml:space="preserve">Mariners is using the DGNSS reference information </w:t>
      </w:r>
      <w:r w:rsidR="00533CD1">
        <w:rPr>
          <w:lang w:eastAsia="ko-KR"/>
        </w:rPr>
        <w:t xml:space="preserve">around own ship in creating voyage plan and passing sea route. If the S-240 dataset </w:t>
      </w:r>
      <w:r w:rsidR="00A61FE5">
        <w:rPr>
          <w:lang w:eastAsia="ko-KR"/>
        </w:rPr>
        <w:t xml:space="preserve">can be </w:t>
      </w:r>
      <w:r w:rsidR="00533CD1">
        <w:rPr>
          <w:lang w:eastAsia="ko-KR"/>
        </w:rPr>
        <w:t xml:space="preserve">used with Maritime ENCs, </w:t>
      </w:r>
      <w:r w:rsidR="00E963EF">
        <w:rPr>
          <w:lang w:eastAsia="ko-KR"/>
        </w:rPr>
        <w:t>status</w:t>
      </w:r>
      <w:r w:rsidR="00A61FE5">
        <w:rPr>
          <w:lang w:eastAsia="ko-KR"/>
        </w:rPr>
        <w:t xml:space="preserve"> information</w:t>
      </w:r>
      <w:r w:rsidR="00E963EF">
        <w:rPr>
          <w:lang w:eastAsia="ko-KR"/>
        </w:rPr>
        <w:t xml:space="preserve"> and service coverage of DGNSS </w:t>
      </w:r>
      <w:r w:rsidR="00A61FE5">
        <w:rPr>
          <w:lang w:eastAsia="ko-KR"/>
        </w:rPr>
        <w:t xml:space="preserve">reference </w:t>
      </w:r>
      <w:r w:rsidR="00E963EF">
        <w:rPr>
          <w:lang w:eastAsia="ko-KR"/>
        </w:rPr>
        <w:t xml:space="preserve">station can be </w:t>
      </w:r>
      <w:r w:rsidR="00A61FE5">
        <w:rPr>
          <w:lang w:eastAsia="ko-KR"/>
        </w:rPr>
        <w:t xml:space="preserve">checked </w:t>
      </w:r>
      <w:r w:rsidR="00E963EF">
        <w:rPr>
          <w:lang w:eastAsia="ko-KR"/>
        </w:rPr>
        <w:t xml:space="preserve">visually. </w:t>
      </w:r>
      <w:r w:rsidR="00005FB8">
        <w:rPr>
          <w:rFonts w:hint="eastAsia"/>
          <w:lang w:eastAsia="ko-KR"/>
        </w:rPr>
        <w:t xml:space="preserve">The DGNSS station information can support </w:t>
      </w:r>
      <w:r w:rsidR="00A61FE5">
        <w:rPr>
          <w:lang w:eastAsia="ko-KR"/>
        </w:rPr>
        <w:t xml:space="preserve">for mariner to create </w:t>
      </w:r>
      <w:r w:rsidR="00005FB8">
        <w:rPr>
          <w:rFonts w:hint="eastAsia"/>
          <w:lang w:eastAsia="ko-KR"/>
        </w:rPr>
        <w:t>route plan</w:t>
      </w:r>
      <w:r w:rsidR="00005FB8">
        <w:rPr>
          <w:lang w:eastAsia="ko-KR"/>
        </w:rPr>
        <w:t xml:space="preserve"> and</w:t>
      </w:r>
      <w:r w:rsidR="00A61FE5">
        <w:rPr>
          <w:lang w:eastAsia="ko-KR"/>
        </w:rPr>
        <w:t xml:space="preserve"> navigate safely. </w:t>
      </w:r>
      <w:r w:rsidR="00005FB8">
        <w:rPr>
          <w:lang w:eastAsia="ko-KR"/>
        </w:rPr>
        <w:t xml:space="preserve">The S-240 dataset can be updated before departing a port. </w:t>
      </w:r>
    </w:p>
    <w:p w14:paraId="4C877ABC" w14:textId="0D1A6B28" w:rsidR="00503313" w:rsidRDefault="008C46C9" w:rsidP="008C46C9">
      <w:pPr>
        <w:jc w:val="center"/>
        <w:rPr>
          <w:lang w:eastAsia="ko-KR"/>
        </w:rPr>
      </w:pPr>
      <w:r>
        <w:rPr>
          <w:noProof/>
          <w:lang w:val="en-IE" w:eastAsia="en-IE"/>
        </w:rPr>
        <w:lastRenderedPageBreak/>
        <w:drawing>
          <wp:inline distT="0" distB="0" distL="0" distR="0" wp14:anchorId="4FF5A972" wp14:editId="71FCF151">
            <wp:extent cx="4653481" cy="2877620"/>
            <wp:effectExtent l="0" t="0" r="0" b="0"/>
            <wp:docPr id="6" name="그림 6" descr="E:\[01] 선박해양플랜트연구소\[1] 주요업무\[4] 연구_ex\[20170214] S240\전자해도 항해계획\No DGNS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[01] 선박해양플랜트연구소\[1] 주요업무\[4] 연구_ex\[20170214] S240\전자해도 항해계획\No DGNSS 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313" cy="288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36C1" w14:textId="28B191B6" w:rsidR="00376E0D" w:rsidRDefault="0062374F" w:rsidP="0062374F">
      <w:pPr>
        <w:pStyle w:val="BodyText"/>
        <w:jc w:val="center"/>
        <w:rPr>
          <w:lang w:eastAsia="ko-KR"/>
        </w:rPr>
      </w:pPr>
      <w:r>
        <w:rPr>
          <w:rFonts w:hint="eastAsia"/>
          <w:lang w:eastAsia="ko-KR"/>
        </w:rPr>
        <w:t xml:space="preserve">Figure 4. </w:t>
      </w:r>
      <w:r w:rsidR="00D64352">
        <w:rPr>
          <w:lang w:eastAsia="ko-KR"/>
        </w:rPr>
        <w:t>Example of displaying DNGSS reference station on ENCs</w:t>
      </w:r>
    </w:p>
    <w:p w14:paraId="4FE4EFD5" w14:textId="77777777" w:rsidR="00376E0D" w:rsidRDefault="00376E0D" w:rsidP="00376E0D">
      <w:pPr>
        <w:pStyle w:val="BodyText"/>
        <w:rPr>
          <w:lang w:eastAsia="ko-KR"/>
        </w:rPr>
      </w:pPr>
    </w:p>
    <w:p w14:paraId="52E2E79F" w14:textId="3821BCBC" w:rsidR="00376E0D" w:rsidRDefault="003F5E34" w:rsidP="00376E0D">
      <w:pPr>
        <w:pStyle w:val="Heading1"/>
        <w:numPr>
          <w:ilvl w:val="0"/>
          <w:numId w:val="14"/>
        </w:numPr>
      </w:pPr>
      <w:r>
        <w:rPr>
          <w:rFonts w:hint="eastAsia"/>
          <w:lang w:eastAsia="ko-KR"/>
        </w:rPr>
        <w:t>Conclusion</w:t>
      </w:r>
    </w:p>
    <w:p w14:paraId="67A7EC92" w14:textId="730FC5BC" w:rsidR="0022049B" w:rsidRPr="0022049B" w:rsidRDefault="0022049B" w:rsidP="003E6A83">
      <w:pPr>
        <w:pStyle w:val="BodyText"/>
        <w:rPr>
          <w:lang w:eastAsia="ko-KR"/>
        </w:rPr>
      </w:pPr>
      <w:r>
        <w:rPr>
          <w:lang w:eastAsia="ko-KR"/>
        </w:rPr>
        <w:t xml:space="preserve">ROK conducted a </w:t>
      </w:r>
      <w:r>
        <w:rPr>
          <w:rFonts w:hint="eastAsia"/>
          <w:lang w:eastAsia="ko-KR"/>
        </w:rPr>
        <w:t xml:space="preserve">research </w:t>
      </w:r>
      <w:r>
        <w:rPr>
          <w:lang w:eastAsia="ko-KR"/>
        </w:rPr>
        <w:t>on</w:t>
      </w:r>
      <w:r>
        <w:rPr>
          <w:rFonts w:hint="eastAsia"/>
          <w:lang w:eastAsia="ko-KR"/>
        </w:rPr>
        <w:t xml:space="preserve"> application case </w:t>
      </w:r>
      <w:r>
        <w:rPr>
          <w:lang w:eastAsia="ko-KR"/>
        </w:rPr>
        <w:t>of S-240 DGNSS station almanac</w:t>
      </w:r>
      <w:r w:rsidR="00A61FE5">
        <w:rPr>
          <w:lang w:eastAsia="ko-KR"/>
        </w:rPr>
        <w:t xml:space="preserve">, which is </w:t>
      </w:r>
      <w:r>
        <w:rPr>
          <w:lang w:eastAsia="ko-KR"/>
        </w:rPr>
        <w:t xml:space="preserve">DGNSS RSIM, DGNSS beacon receiver and voyage planning. The team developed a setup window of detailed information based on S-240 dataset for RSIM system and the </w:t>
      </w:r>
      <w:r w:rsidR="00D52357">
        <w:rPr>
          <w:lang w:eastAsia="ko-KR"/>
        </w:rPr>
        <w:t xml:space="preserve">possibility of applying the case was reviewed. The case of DGNSS beacon receiver was </w:t>
      </w:r>
      <w:r w:rsidR="00A61FE5">
        <w:rPr>
          <w:lang w:eastAsia="ko-KR"/>
        </w:rPr>
        <w:t xml:space="preserve">also </w:t>
      </w:r>
      <w:r w:rsidR="00D52357">
        <w:rPr>
          <w:lang w:eastAsia="ko-KR"/>
        </w:rPr>
        <w:t xml:space="preserve">proposed. The application of S-240 dataset except the purpose of DGNSS Station Almanac needs to be tested with DGNSS industries in terms of efficiency, usability and safety.  </w:t>
      </w:r>
    </w:p>
    <w:p w14:paraId="5164B6EA" w14:textId="77777777" w:rsidR="00ED00A0" w:rsidRPr="00A61FE5" w:rsidRDefault="00ED00A0" w:rsidP="00A446C9">
      <w:pPr>
        <w:pStyle w:val="BodyText"/>
        <w:rPr>
          <w:lang w:eastAsia="ko-KR"/>
        </w:rPr>
      </w:pP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67A92898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1A49A0AD" w14:textId="0457A889" w:rsidR="00E3204A" w:rsidRPr="00D64352" w:rsidRDefault="00D64352" w:rsidP="00110471">
      <w:pPr>
        <w:pStyle w:val="List1"/>
        <w:numPr>
          <w:ilvl w:val="0"/>
          <w:numId w:val="39"/>
        </w:numPr>
        <w:rPr>
          <w:rFonts w:eastAsia="Batang"/>
          <w:lang w:eastAsia="ko-KR"/>
        </w:rPr>
      </w:pPr>
      <w:r w:rsidRPr="00D64352">
        <w:rPr>
          <w:rFonts w:eastAsia="Batang"/>
          <w:lang w:eastAsia="ko-KR"/>
        </w:rPr>
        <w:t>note this paper</w:t>
      </w:r>
    </w:p>
    <w:p w14:paraId="4E9BFE3B" w14:textId="513924EB" w:rsidR="00C27EEE" w:rsidRPr="00D64352" w:rsidRDefault="00D64352" w:rsidP="00110471">
      <w:pPr>
        <w:pStyle w:val="List1"/>
        <w:numPr>
          <w:ilvl w:val="0"/>
          <w:numId w:val="39"/>
        </w:numPr>
        <w:rPr>
          <w:rFonts w:eastAsia="Batang"/>
          <w:lang w:eastAsia="ko-KR"/>
        </w:rPr>
      </w:pPr>
      <w:r w:rsidRPr="00D64352">
        <w:rPr>
          <w:rFonts w:eastAsia="Batang"/>
          <w:lang w:eastAsia="ko-KR"/>
        </w:rPr>
        <w:t xml:space="preserve">review the application cases of S-240 dataset proposed by </w:t>
      </w:r>
      <w:r w:rsidR="00C27EEE" w:rsidRPr="00D64352">
        <w:rPr>
          <w:rFonts w:eastAsia="Batang" w:hint="eastAsia"/>
          <w:lang w:eastAsia="ko-KR"/>
        </w:rPr>
        <w:t>ROK</w:t>
      </w:r>
      <w:r w:rsidR="003E6A83" w:rsidRPr="00D64352">
        <w:rPr>
          <w:rFonts w:eastAsia="Batang"/>
          <w:lang w:eastAsia="ko-KR"/>
        </w:rPr>
        <w:t xml:space="preserve"> </w:t>
      </w:r>
    </w:p>
    <w:p w14:paraId="1A013F9D" w14:textId="2927B997" w:rsidR="00781FF6" w:rsidRPr="00781FF6" w:rsidRDefault="00781FF6" w:rsidP="00110471">
      <w:pPr>
        <w:pStyle w:val="List1"/>
        <w:numPr>
          <w:ilvl w:val="0"/>
          <w:numId w:val="0"/>
        </w:numPr>
        <w:ind w:left="567" w:hanging="567"/>
        <w:rPr>
          <w:lang w:eastAsia="ko-KR"/>
        </w:rPr>
      </w:pPr>
    </w:p>
    <w:sectPr w:rsidR="00781FF6" w:rsidRPr="00781FF6" w:rsidSect="0082480E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2D069" w14:textId="77777777" w:rsidR="00FE3F3E" w:rsidRDefault="00FE3F3E" w:rsidP="00362CD9">
      <w:r>
        <w:separator/>
      </w:r>
    </w:p>
  </w:endnote>
  <w:endnote w:type="continuationSeparator" w:id="0">
    <w:p w14:paraId="0600D68C" w14:textId="77777777" w:rsidR="00FE3F3E" w:rsidRDefault="00FE3F3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4A52CADB" w:rsidR="00C27EEE" w:rsidRDefault="00C27EE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B2E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E8C78" w14:textId="77777777" w:rsidR="00FE3F3E" w:rsidRDefault="00FE3F3E" w:rsidP="00362CD9">
      <w:r>
        <w:separator/>
      </w:r>
    </w:p>
  </w:footnote>
  <w:footnote w:type="continuationSeparator" w:id="0">
    <w:p w14:paraId="0136AA4C" w14:textId="77777777" w:rsidR="00FE3F3E" w:rsidRDefault="00FE3F3E" w:rsidP="00362CD9">
      <w:r>
        <w:continuationSeparator/>
      </w:r>
    </w:p>
  </w:footnote>
  <w:footnote w:id="1">
    <w:p w14:paraId="741FE09C" w14:textId="56CC54BF" w:rsidR="00C27EEE" w:rsidRPr="00EA5A97" w:rsidRDefault="00C27EE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C27EEE" w:rsidRPr="00037DF4" w:rsidRDefault="00C27EEE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34F70"/>
    <w:multiLevelType w:val="hybridMultilevel"/>
    <w:tmpl w:val="9F26EA98"/>
    <w:lvl w:ilvl="0" w:tplc="85D81A3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56263DD"/>
    <w:multiLevelType w:val="hybridMultilevel"/>
    <w:tmpl w:val="C1B82BD8"/>
    <w:lvl w:ilvl="0" w:tplc="D542D6F2">
      <w:numFmt w:val="bullet"/>
      <w:lvlText w:val="-"/>
      <w:lvlJc w:val="left"/>
      <w:pPr>
        <w:ind w:left="76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5"/>
  </w:num>
  <w:num w:numId="7">
    <w:abstractNumId w:val="25"/>
  </w:num>
  <w:num w:numId="8">
    <w:abstractNumId w:val="12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6"/>
  </w:num>
  <w:num w:numId="15">
    <w:abstractNumId w:val="26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4"/>
  </w:num>
  <w:num w:numId="25">
    <w:abstractNumId w:val="4"/>
  </w:num>
  <w:num w:numId="26">
    <w:abstractNumId w:val="4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10"/>
  </w:num>
  <w:num w:numId="46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5FB8"/>
    <w:rsid w:val="00013AB5"/>
    <w:rsid w:val="000202A7"/>
    <w:rsid w:val="00027AC5"/>
    <w:rsid w:val="00030522"/>
    <w:rsid w:val="000322B2"/>
    <w:rsid w:val="000334BC"/>
    <w:rsid w:val="00034318"/>
    <w:rsid w:val="00037DF4"/>
    <w:rsid w:val="0004700E"/>
    <w:rsid w:val="00070C13"/>
    <w:rsid w:val="00071297"/>
    <w:rsid w:val="00084F33"/>
    <w:rsid w:val="000A77A7"/>
    <w:rsid w:val="000B1707"/>
    <w:rsid w:val="000B6B65"/>
    <w:rsid w:val="000C1B3E"/>
    <w:rsid w:val="00101075"/>
    <w:rsid w:val="00110471"/>
    <w:rsid w:val="001109F3"/>
    <w:rsid w:val="001505AC"/>
    <w:rsid w:val="00156CC2"/>
    <w:rsid w:val="00171513"/>
    <w:rsid w:val="00177F4D"/>
    <w:rsid w:val="00180DDA"/>
    <w:rsid w:val="00191BC7"/>
    <w:rsid w:val="001A1F5E"/>
    <w:rsid w:val="001B2A2D"/>
    <w:rsid w:val="001B4D36"/>
    <w:rsid w:val="001B737D"/>
    <w:rsid w:val="001B7C1A"/>
    <w:rsid w:val="001C44A3"/>
    <w:rsid w:val="001E0E15"/>
    <w:rsid w:val="001F4802"/>
    <w:rsid w:val="001F528A"/>
    <w:rsid w:val="001F704E"/>
    <w:rsid w:val="00202711"/>
    <w:rsid w:val="00204B9F"/>
    <w:rsid w:val="002125B0"/>
    <w:rsid w:val="00212CDA"/>
    <w:rsid w:val="0022049B"/>
    <w:rsid w:val="00227F74"/>
    <w:rsid w:val="00233B21"/>
    <w:rsid w:val="00237EC1"/>
    <w:rsid w:val="00243228"/>
    <w:rsid w:val="00251483"/>
    <w:rsid w:val="00255CAA"/>
    <w:rsid w:val="00256FBF"/>
    <w:rsid w:val="00264305"/>
    <w:rsid w:val="00286A28"/>
    <w:rsid w:val="00297494"/>
    <w:rsid w:val="002A0346"/>
    <w:rsid w:val="002A4487"/>
    <w:rsid w:val="002B145F"/>
    <w:rsid w:val="002B49E9"/>
    <w:rsid w:val="002B5F04"/>
    <w:rsid w:val="002D3BE8"/>
    <w:rsid w:val="002D3E8B"/>
    <w:rsid w:val="002D4575"/>
    <w:rsid w:val="002D5C0C"/>
    <w:rsid w:val="002E03D1"/>
    <w:rsid w:val="002E6593"/>
    <w:rsid w:val="002E6B74"/>
    <w:rsid w:val="002E6FCA"/>
    <w:rsid w:val="0031516A"/>
    <w:rsid w:val="0032544E"/>
    <w:rsid w:val="00327E4A"/>
    <w:rsid w:val="0033227C"/>
    <w:rsid w:val="003368F4"/>
    <w:rsid w:val="00352B2B"/>
    <w:rsid w:val="00356CD0"/>
    <w:rsid w:val="00357C75"/>
    <w:rsid w:val="00362CD9"/>
    <w:rsid w:val="00371803"/>
    <w:rsid w:val="00375BBD"/>
    <w:rsid w:val="003761CA"/>
    <w:rsid w:val="00376E0D"/>
    <w:rsid w:val="00380DAF"/>
    <w:rsid w:val="003970F7"/>
    <w:rsid w:val="003A2925"/>
    <w:rsid w:val="003A4CFC"/>
    <w:rsid w:val="003A6E68"/>
    <w:rsid w:val="003B1DFA"/>
    <w:rsid w:val="003B28F5"/>
    <w:rsid w:val="003B41DC"/>
    <w:rsid w:val="003B59EB"/>
    <w:rsid w:val="003B7B7D"/>
    <w:rsid w:val="003C09D8"/>
    <w:rsid w:val="003C10CA"/>
    <w:rsid w:val="003C54CB"/>
    <w:rsid w:val="003C7A2A"/>
    <w:rsid w:val="003D2DC1"/>
    <w:rsid w:val="003D69D0"/>
    <w:rsid w:val="003D78B0"/>
    <w:rsid w:val="003D7A9A"/>
    <w:rsid w:val="003E6A83"/>
    <w:rsid w:val="003F2918"/>
    <w:rsid w:val="003F430E"/>
    <w:rsid w:val="003F5E34"/>
    <w:rsid w:val="00401CC4"/>
    <w:rsid w:val="0041088C"/>
    <w:rsid w:val="00420A38"/>
    <w:rsid w:val="00423ADB"/>
    <w:rsid w:val="00426E5D"/>
    <w:rsid w:val="00431B19"/>
    <w:rsid w:val="004454ED"/>
    <w:rsid w:val="004661AD"/>
    <w:rsid w:val="004A351C"/>
    <w:rsid w:val="004C1A4A"/>
    <w:rsid w:val="004C29F9"/>
    <w:rsid w:val="004D1D85"/>
    <w:rsid w:val="004D3C3A"/>
    <w:rsid w:val="004D42A6"/>
    <w:rsid w:val="004E1CD1"/>
    <w:rsid w:val="004F3796"/>
    <w:rsid w:val="004F5499"/>
    <w:rsid w:val="00503313"/>
    <w:rsid w:val="00505260"/>
    <w:rsid w:val="005061FC"/>
    <w:rsid w:val="005107EB"/>
    <w:rsid w:val="00513055"/>
    <w:rsid w:val="00521345"/>
    <w:rsid w:val="005234C3"/>
    <w:rsid w:val="00526DF0"/>
    <w:rsid w:val="00530E63"/>
    <w:rsid w:val="00533CD1"/>
    <w:rsid w:val="00545CC4"/>
    <w:rsid w:val="00551FFF"/>
    <w:rsid w:val="005607A2"/>
    <w:rsid w:val="0057198B"/>
    <w:rsid w:val="00571CAF"/>
    <w:rsid w:val="00574A84"/>
    <w:rsid w:val="00597FAE"/>
    <w:rsid w:val="005B32A3"/>
    <w:rsid w:val="005B3435"/>
    <w:rsid w:val="005B7E50"/>
    <w:rsid w:val="005C0D44"/>
    <w:rsid w:val="005C566C"/>
    <w:rsid w:val="005C716B"/>
    <w:rsid w:val="005C7E69"/>
    <w:rsid w:val="005D27D9"/>
    <w:rsid w:val="005D4AAB"/>
    <w:rsid w:val="005E262D"/>
    <w:rsid w:val="005F23D3"/>
    <w:rsid w:val="005F7E20"/>
    <w:rsid w:val="00603357"/>
    <w:rsid w:val="0062374F"/>
    <w:rsid w:val="006260FB"/>
    <w:rsid w:val="0063107D"/>
    <w:rsid w:val="0065621E"/>
    <w:rsid w:val="006652C3"/>
    <w:rsid w:val="00680586"/>
    <w:rsid w:val="00683CD9"/>
    <w:rsid w:val="00687231"/>
    <w:rsid w:val="00691FD0"/>
    <w:rsid w:val="00692148"/>
    <w:rsid w:val="006A5FD5"/>
    <w:rsid w:val="006C5948"/>
    <w:rsid w:val="006D6CFA"/>
    <w:rsid w:val="006D79AC"/>
    <w:rsid w:val="006D7EE1"/>
    <w:rsid w:val="006F2A74"/>
    <w:rsid w:val="007118F5"/>
    <w:rsid w:val="00712AA4"/>
    <w:rsid w:val="00721AA1"/>
    <w:rsid w:val="00724B67"/>
    <w:rsid w:val="00731BB0"/>
    <w:rsid w:val="007534E1"/>
    <w:rsid w:val="007547F8"/>
    <w:rsid w:val="00765622"/>
    <w:rsid w:val="00770B6C"/>
    <w:rsid w:val="007747A0"/>
    <w:rsid w:val="00781FF6"/>
    <w:rsid w:val="00783FEA"/>
    <w:rsid w:val="00791B91"/>
    <w:rsid w:val="00795003"/>
    <w:rsid w:val="007951BD"/>
    <w:rsid w:val="0079538E"/>
    <w:rsid w:val="007D4186"/>
    <w:rsid w:val="007E40C5"/>
    <w:rsid w:val="0080294B"/>
    <w:rsid w:val="008042CD"/>
    <w:rsid w:val="008047A9"/>
    <w:rsid w:val="008222B6"/>
    <w:rsid w:val="0082480E"/>
    <w:rsid w:val="00826734"/>
    <w:rsid w:val="008373A8"/>
    <w:rsid w:val="00850293"/>
    <w:rsid w:val="00851373"/>
    <w:rsid w:val="00851BA6"/>
    <w:rsid w:val="0085654D"/>
    <w:rsid w:val="008575B3"/>
    <w:rsid w:val="00861160"/>
    <w:rsid w:val="0086654F"/>
    <w:rsid w:val="00871D19"/>
    <w:rsid w:val="00880F3C"/>
    <w:rsid w:val="00895F33"/>
    <w:rsid w:val="008A356F"/>
    <w:rsid w:val="008A4653"/>
    <w:rsid w:val="008A4717"/>
    <w:rsid w:val="008A50CC"/>
    <w:rsid w:val="008B2E2F"/>
    <w:rsid w:val="008B4A15"/>
    <w:rsid w:val="008B517A"/>
    <w:rsid w:val="008B5585"/>
    <w:rsid w:val="008C46C9"/>
    <w:rsid w:val="008D1694"/>
    <w:rsid w:val="008D1F82"/>
    <w:rsid w:val="008D6306"/>
    <w:rsid w:val="008D79CB"/>
    <w:rsid w:val="008F07BC"/>
    <w:rsid w:val="00913897"/>
    <w:rsid w:val="0092097F"/>
    <w:rsid w:val="0092449D"/>
    <w:rsid w:val="0092692B"/>
    <w:rsid w:val="0093131D"/>
    <w:rsid w:val="00933A3E"/>
    <w:rsid w:val="009346CF"/>
    <w:rsid w:val="00940D0B"/>
    <w:rsid w:val="00943E9C"/>
    <w:rsid w:val="0094737B"/>
    <w:rsid w:val="00953F4D"/>
    <w:rsid w:val="00960BB8"/>
    <w:rsid w:val="00964F5C"/>
    <w:rsid w:val="00965128"/>
    <w:rsid w:val="00966759"/>
    <w:rsid w:val="009831C0"/>
    <w:rsid w:val="00984F11"/>
    <w:rsid w:val="009A37F2"/>
    <w:rsid w:val="009A44F3"/>
    <w:rsid w:val="009A4B11"/>
    <w:rsid w:val="009B0F15"/>
    <w:rsid w:val="009B5FFF"/>
    <w:rsid w:val="009C7A66"/>
    <w:rsid w:val="009F3965"/>
    <w:rsid w:val="00A0389B"/>
    <w:rsid w:val="00A07F14"/>
    <w:rsid w:val="00A36100"/>
    <w:rsid w:val="00A446C9"/>
    <w:rsid w:val="00A531F9"/>
    <w:rsid w:val="00A61FE5"/>
    <w:rsid w:val="00A635D6"/>
    <w:rsid w:val="00A777BC"/>
    <w:rsid w:val="00A811F7"/>
    <w:rsid w:val="00A8553A"/>
    <w:rsid w:val="00A93AED"/>
    <w:rsid w:val="00AA59BB"/>
    <w:rsid w:val="00AE10C8"/>
    <w:rsid w:val="00AE7624"/>
    <w:rsid w:val="00AF06E7"/>
    <w:rsid w:val="00B02B49"/>
    <w:rsid w:val="00B070F0"/>
    <w:rsid w:val="00B11A13"/>
    <w:rsid w:val="00B16803"/>
    <w:rsid w:val="00B226F2"/>
    <w:rsid w:val="00B23212"/>
    <w:rsid w:val="00B274DF"/>
    <w:rsid w:val="00B54666"/>
    <w:rsid w:val="00B56BC8"/>
    <w:rsid w:val="00B56BDF"/>
    <w:rsid w:val="00B65812"/>
    <w:rsid w:val="00B80488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0969"/>
    <w:rsid w:val="00C0530D"/>
    <w:rsid w:val="00C05CE5"/>
    <w:rsid w:val="00C137D8"/>
    <w:rsid w:val="00C14D8B"/>
    <w:rsid w:val="00C158A8"/>
    <w:rsid w:val="00C2219B"/>
    <w:rsid w:val="00C27EEE"/>
    <w:rsid w:val="00C34D54"/>
    <w:rsid w:val="00C42EF6"/>
    <w:rsid w:val="00C46957"/>
    <w:rsid w:val="00C55F93"/>
    <w:rsid w:val="00C6171E"/>
    <w:rsid w:val="00C67564"/>
    <w:rsid w:val="00C70AC9"/>
    <w:rsid w:val="00C722B5"/>
    <w:rsid w:val="00C77EC2"/>
    <w:rsid w:val="00CA6F2C"/>
    <w:rsid w:val="00CD58D3"/>
    <w:rsid w:val="00CE205E"/>
    <w:rsid w:val="00CF1871"/>
    <w:rsid w:val="00CF4BF5"/>
    <w:rsid w:val="00D02536"/>
    <w:rsid w:val="00D04ED7"/>
    <w:rsid w:val="00D06424"/>
    <w:rsid w:val="00D1133E"/>
    <w:rsid w:val="00D1555E"/>
    <w:rsid w:val="00D17A34"/>
    <w:rsid w:val="00D25D48"/>
    <w:rsid w:val="00D26628"/>
    <w:rsid w:val="00D332B3"/>
    <w:rsid w:val="00D402AB"/>
    <w:rsid w:val="00D51FBF"/>
    <w:rsid w:val="00D52357"/>
    <w:rsid w:val="00D55207"/>
    <w:rsid w:val="00D64352"/>
    <w:rsid w:val="00D92B45"/>
    <w:rsid w:val="00D957E1"/>
    <w:rsid w:val="00D95962"/>
    <w:rsid w:val="00DC2F23"/>
    <w:rsid w:val="00DC389B"/>
    <w:rsid w:val="00DE2FEE"/>
    <w:rsid w:val="00DE5D33"/>
    <w:rsid w:val="00E00BE9"/>
    <w:rsid w:val="00E01EF5"/>
    <w:rsid w:val="00E22A11"/>
    <w:rsid w:val="00E31E5C"/>
    <w:rsid w:val="00E3204A"/>
    <w:rsid w:val="00E408B9"/>
    <w:rsid w:val="00E558C3"/>
    <w:rsid w:val="00E55927"/>
    <w:rsid w:val="00E57EF2"/>
    <w:rsid w:val="00E77B51"/>
    <w:rsid w:val="00E80C9D"/>
    <w:rsid w:val="00E85716"/>
    <w:rsid w:val="00E912A6"/>
    <w:rsid w:val="00E963EF"/>
    <w:rsid w:val="00EA4844"/>
    <w:rsid w:val="00EA4D9C"/>
    <w:rsid w:val="00EA5A8A"/>
    <w:rsid w:val="00EA5A97"/>
    <w:rsid w:val="00EB04D8"/>
    <w:rsid w:val="00EB186C"/>
    <w:rsid w:val="00EB2F9B"/>
    <w:rsid w:val="00EB75EE"/>
    <w:rsid w:val="00ED00A0"/>
    <w:rsid w:val="00ED568E"/>
    <w:rsid w:val="00ED764F"/>
    <w:rsid w:val="00EE0D52"/>
    <w:rsid w:val="00EE4C1D"/>
    <w:rsid w:val="00EE5136"/>
    <w:rsid w:val="00EF02B0"/>
    <w:rsid w:val="00EF3685"/>
    <w:rsid w:val="00F159EB"/>
    <w:rsid w:val="00F25BF4"/>
    <w:rsid w:val="00F2602D"/>
    <w:rsid w:val="00F267DB"/>
    <w:rsid w:val="00F46F6F"/>
    <w:rsid w:val="00F55E3E"/>
    <w:rsid w:val="00F60608"/>
    <w:rsid w:val="00F62217"/>
    <w:rsid w:val="00FB17A9"/>
    <w:rsid w:val="00FB527C"/>
    <w:rsid w:val="00FB6F75"/>
    <w:rsid w:val="00FC0EB3"/>
    <w:rsid w:val="00FD501D"/>
    <w:rsid w:val="00FD675E"/>
    <w:rsid w:val="00FE3F3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6659995-F892-40D1-BA1A-B94F9D349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62374F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7FD73-58DB-4078-8F7C-A9956744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Seamus Doyle</cp:lastModifiedBy>
  <cp:revision>2</cp:revision>
  <dcterms:created xsi:type="dcterms:W3CDTF">2017-03-10T12:00:00Z</dcterms:created>
  <dcterms:modified xsi:type="dcterms:W3CDTF">2017-03-10T12:00:00Z</dcterms:modified>
</cp:coreProperties>
</file>